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3260.0" w:type="dxa"/>
        <w:jc w:val="left"/>
        <w:tblInd w:w="-150.0" w:type="dxa"/>
        <w:tblLayout w:type="fixed"/>
        <w:tblLook w:val="0400"/>
      </w:tblPr>
      <w:tblGrid>
        <w:gridCol w:w="8837"/>
        <w:gridCol w:w="4423"/>
        <w:tblGridChange w:id="0">
          <w:tblGrid>
            <w:gridCol w:w="8837"/>
            <w:gridCol w:w="4423"/>
          </w:tblGrid>
        </w:tblGridChange>
      </w:tblGrid>
      <w:tr>
        <w:trPr>
          <w:trHeight w:val="22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0e6641"/>
            <w:tcMar>
              <w:top w:w="75.0" w:type="dxa"/>
              <w:left w:w="150.0" w:type="dxa"/>
              <w:bottom w:w="75.0" w:type="dxa"/>
              <w:right w:w="15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Lucida Sans" w:cs="Lucida Sans" w:eastAsia="Lucida Sans" w:hAnsi="Lucida Sans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ffffff"/>
                <w:sz w:val="36"/>
                <w:szCs w:val="36"/>
                <w:rtl w:val="0"/>
              </w:rPr>
              <w:t xml:space="preserve">Pre-CCR Instructional Practice in ELA/Literacy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0e6641"/>
            <w:tcMar>
              <w:top w:w="75.0" w:type="dxa"/>
              <w:left w:w="150.0" w:type="dxa"/>
              <w:bottom w:w="75.0" w:type="dxa"/>
              <w:right w:w="15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ffffff"/>
                <w:sz w:val="36"/>
                <w:szCs w:val="36"/>
                <w:rtl w:val="0"/>
              </w:rPr>
              <w:t xml:space="preserve">Shifts-Aligned Instructional Practice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60" w:hRule="atLeast"/>
        </w:trPr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2cd"/>
            <w:tcMar>
              <w:top w:w="75.0" w:type="dxa"/>
              <w:left w:w="150.0" w:type="dxa"/>
              <w:bottom w:w="75.0" w:type="dxa"/>
              <w:right w:w="15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sz w:val="28"/>
                <w:szCs w:val="28"/>
                <w:rtl w:val="0"/>
              </w:rPr>
              <w:t xml:space="preserve">(lack of) Text Complexity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color w:val="000000"/>
                <w:sz w:val="28"/>
                <w:szCs w:val="28"/>
                <w:rtl w:val="0"/>
              </w:rPr>
              <w:t xml:space="preserve">Lack of complex texts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color w:val="000000"/>
                <w:sz w:val="28"/>
                <w:szCs w:val="28"/>
                <w:rtl w:val="0"/>
              </w:rPr>
              <w:t xml:space="preserve">Testing “window dressing” and domain specific vocabulary as opposed to Tier 2, academic vocabulary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72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sz w:val="28"/>
                <w:szCs w:val="28"/>
                <w:rtl w:val="0"/>
              </w:rPr>
              <w:t xml:space="preserve">(lack of) Evidence from the Text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spacing w:after="0" w:before="0" w:line="240" w:lineRule="auto"/>
              <w:ind w:left="72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color w:val="000000"/>
                <w:sz w:val="28"/>
                <w:szCs w:val="28"/>
                <w:rtl w:val="0"/>
              </w:rPr>
              <w:t xml:space="preserve">Superficial questions that don’t get to the “heart” of a text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spacing w:after="0" w:before="0" w:line="240" w:lineRule="auto"/>
              <w:ind w:left="72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color w:val="000000"/>
                <w:sz w:val="28"/>
                <w:szCs w:val="28"/>
                <w:rtl w:val="0"/>
              </w:rPr>
              <w:t xml:space="preserve">Writing based ONLY on student experience, not texts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spacing w:after="0" w:before="0" w:line="240" w:lineRule="auto"/>
              <w:ind w:left="72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color w:val="000000"/>
                <w:sz w:val="28"/>
                <w:szCs w:val="28"/>
                <w:rtl w:val="0"/>
              </w:rPr>
              <w:t xml:space="preserve">Students not required to support answers with evidence from texts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72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sz w:val="28"/>
                <w:szCs w:val="28"/>
                <w:rtl w:val="0"/>
              </w:rPr>
              <w:t xml:space="preserve">(lack of ) Building 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color w:val="000000"/>
                <w:sz w:val="28"/>
                <w:szCs w:val="28"/>
                <w:rtl w:val="0"/>
              </w:rPr>
              <w:t xml:space="preserve">Even split between literary and informational texts (lack of intentionality around building knowledge from informational texts)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72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sz w:val="28"/>
                <w:szCs w:val="28"/>
                <w:rtl w:val="0"/>
              </w:rPr>
              <w:t xml:space="preserve">In General: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color w:val="000000"/>
                <w:sz w:val="28"/>
                <w:szCs w:val="28"/>
                <w:rtl w:val="0"/>
              </w:rPr>
              <w:t xml:space="preserve">Explicit “Test Prep” time in the window 3 weeks before the assessment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2cd"/>
            <w:tcMar>
              <w:top w:w="75.0" w:type="dxa"/>
              <w:left w:w="150.0" w:type="dxa"/>
              <w:bottom w:w="75.0" w:type="dxa"/>
              <w:right w:w="15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ucida Sans" w:cs="Lucida Sans" w:eastAsia="Lucida Sans" w:hAnsi="Lucida Sans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3260.0" w:type="dxa"/>
        <w:jc w:val="left"/>
        <w:tblInd w:w="-150.0" w:type="dxa"/>
        <w:tblLayout w:type="fixed"/>
        <w:tblLook w:val="0400"/>
      </w:tblPr>
      <w:tblGrid>
        <w:gridCol w:w="8837"/>
        <w:gridCol w:w="4423"/>
        <w:tblGridChange w:id="0">
          <w:tblGrid>
            <w:gridCol w:w="8837"/>
            <w:gridCol w:w="4423"/>
          </w:tblGrid>
        </w:tblGridChange>
      </w:tblGrid>
      <w:tr>
        <w:trPr>
          <w:trHeight w:val="22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0e6641"/>
            <w:tcMar>
              <w:top w:w="75.0" w:type="dxa"/>
              <w:left w:w="150.0" w:type="dxa"/>
              <w:bottom w:w="75.0" w:type="dxa"/>
              <w:right w:w="15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Lucida Sans" w:cs="Lucida Sans" w:eastAsia="Lucida Sans" w:hAnsi="Lucida Sans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ffffff"/>
                <w:sz w:val="36"/>
                <w:szCs w:val="36"/>
                <w:rtl w:val="0"/>
              </w:rPr>
              <w:t xml:space="preserve">Pre-CCR Instructional Practice in math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0e6641"/>
            <w:tcMar>
              <w:top w:w="75.0" w:type="dxa"/>
              <w:left w:w="150.0" w:type="dxa"/>
              <w:bottom w:w="75.0" w:type="dxa"/>
              <w:right w:w="15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ffffff"/>
                <w:sz w:val="36"/>
                <w:szCs w:val="36"/>
                <w:rtl w:val="0"/>
              </w:rPr>
              <w:t xml:space="preserve">Shifts-Aligned Instructional Practice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0" w:hRule="atLeast"/>
        </w:trPr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2cd"/>
            <w:tcMar>
              <w:top w:w="75.0" w:type="dxa"/>
              <w:left w:w="150.0" w:type="dxa"/>
              <w:bottom w:w="75.0" w:type="dxa"/>
              <w:right w:w="15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sz w:val="28"/>
                <w:szCs w:val="28"/>
                <w:rtl w:val="0"/>
              </w:rPr>
              <w:t xml:space="preserve">(lack of) Focus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8"/>
                <w:szCs w:val="28"/>
                <w:rtl w:val="0"/>
              </w:rPr>
              <w:t xml:space="preserve">Equal attention content across broad domains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sz w:val="28"/>
                <w:szCs w:val="28"/>
                <w:rtl w:val="0"/>
              </w:rPr>
              <w:t xml:space="preserve">(lack of) Coherence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8"/>
                <w:szCs w:val="28"/>
                <w:rtl w:val="0"/>
              </w:rPr>
              <w:t xml:space="preserve">Repetitive content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8"/>
                <w:szCs w:val="28"/>
                <w:rtl w:val="0"/>
              </w:rPr>
              <w:t xml:space="preserve">Content not progressing across grade bands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8"/>
                <w:szCs w:val="28"/>
                <w:rtl w:val="0"/>
              </w:rPr>
              <w:t xml:space="preserve">Inconsistency of representations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8"/>
                <w:szCs w:val="28"/>
                <w:rtl w:val="0"/>
              </w:rPr>
              <w:t xml:space="preserve">Topics in isolation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sz w:val="28"/>
                <w:szCs w:val="28"/>
                <w:rtl w:val="0"/>
              </w:rPr>
              <w:t xml:space="preserve">(lack of) Rigor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8"/>
                <w:szCs w:val="28"/>
                <w:rtl w:val="0"/>
              </w:rPr>
              <w:t xml:space="preserve">Emphasis on procedures and answer-getting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8"/>
                <w:szCs w:val="28"/>
                <w:rtl w:val="0"/>
              </w:rPr>
              <w:t xml:space="preserve">Superficial questions that don’t get to the “heart” of application and modeling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sz w:val="28"/>
                <w:szCs w:val="28"/>
                <w:rtl w:val="0"/>
              </w:rPr>
              <w:t xml:space="preserve">In General: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color w:val="000000"/>
                <w:sz w:val="28"/>
                <w:szCs w:val="28"/>
                <w:rtl w:val="0"/>
              </w:rPr>
              <w:t xml:space="preserve">Explicit “Test Prep” time in the window 3 weeks before the assessment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ad2cd"/>
            <w:tcMar>
              <w:top w:w="75.0" w:type="dxa"/>
              <w:left w:w="150.0" w:type="dxa"/>
              <w:bottom w:w="75.0" w:type="dxa"/>
              <w:right w:w="15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ucida Sans" w:cs="Lucida Sans" w:eastAsia="Lucida Sans" w:hAnsi="Lucida Sans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2240" w:w="15840"/>
      <w:pgMar w:bottom="1800" w:top="180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Arial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